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70" w:rsidRDefault="00FF47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3426040"/>
    </w:p>
    <w:p w:rsidR="00A23369" w:rsidRPr="00447E98" w:rsidRDefault="00447E98">
      <w:pPr>
        <w:spacing w:after="0" w:line="408" w:lineRule="auto"/>
        <w:ind w:left="120"/>
        <w:jc w:val="center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3369" w:rsidRPr="00447E98" w:rsidRDefault="00447E98">
      <w:pPr>
        <w:spacing w:after="0" w:line="408" w:lineRule="auto"/>
        <w:ind w:left="120"/>
        <w:jc w:val="center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 "МР </w:t>
      </w:r>
      <w:proofErr w:type="spellStart"/>
      <w:r w:rsidRPr="00447E98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447E98">
        <w:rPr>
          <w:rFonts w:ascii="Times New Roman" w:hAnsi="Times New Roman"/>
          <w:b/>
          <w:color w:val="000000"/>
          <w:sz w:val="28"/>
          <w:lang w:val="ru-RU"/>
        </w:rPr>
        <w:t>"</w:t>
      </w:r>
      <w:bookmarkEnd w:id="1"/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23369" w:rsidRPr="00447E98" w:rsidRDefault="00447E98">
      <w:pPr>
        <w:spacing w:after="0" w:line="408" w:lineRule="auto"/>
        <w:ind w:left="120"/>
        <w:jc w:val="center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  <w:bookmarkEnd w:id="2"/>
      <w:r w:rsidRPr="00447E9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7E98">
        <w:rPr>
          <w:rFonts w:ascii="Times New Roman" w:hAnsi="Times New Roman"/>
          <w:color w:val="000000"/>
          <w:sz w:val="28"/>
          <w:lang w:val="ru-RU"/>
        </w:rPr>
        <w:t>​</w:t>
      </w:r>
    </w:p>
    <w:p w:rsidR="00A23369" w:rsidRDefault="00447E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Крайновская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A23369" w:rsidRDefault="00A23369">
      <w:pPr>
        <w:spacing w:after="0"/>
        <w:ind w:left="120"/>
      </w:pPr>
    </w:p>
    <w:p w:rsidR="00A23369" w:rsidRDefault="00A23369">
      <w:pPr>
        <w:spacing w:after="0"/>
        <w:ind w:left="120"/>
      </w:pPr>
    </w:p>
    <w:p w:rsidR="00A23369" w:rsidRDefault="00A23369">
      <w:pPr>
        <w:spacing w:after="0"/>
        <w:ind w:left="120"/>
      </w:pPr>
    </w:p>
    <w:p w:rsidR="00A23369" w:rsidRDefault="00A2336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47E98" w:rsidRPr="00D04624" w:rsidTr="00447E98">
        <w:tc>
          <w:tcPr>
            <w:tcW w:w="3114" w:type="dxa"/>
          </w:tcPr>
          <w:p w:rsidR="00447E98" w:rsidRPr="0040209D" w:rsidRDefault="00447E98" w:rsidP="00447E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47E98" w:rsidRPr="008944ED" w:rsidRDefault="00447E98" w:rsidP="00447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47E98" w:rsidRDefault="00447E98" w:rsidP="00447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47E98" w:rsidRPr="008944ED" w:rsidRDefault="00447E98" w:rsidP="00447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Л.В.</w:t>
            </w:r>
          </w:p>
          <w:p w:rsidR="00FF4770" w:rsidRDefault="00447E98" w:rsidP="00447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</w:p>
          <w:p w:rsidR="00447E98" w:rsidRDefault="00447E98" w:rsidP="00447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47E98" w:rsidRPr="0040209D" w:rsidRDefault="00447E98" w:rsidP="00447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47E98" w:rsidRPr="0040209D" w:rsidRDefault="00447E98" w:rsidP="00447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47E98" w:rsidRPr="008944ED" w:rsidRDefault="00447E98" w:rsidP="00447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47E98" w:rsidRDefault="00447E98" w:rsidP="00447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47E98" w:rsidRPr="008944ED" w:rsidRDefault="00447E98" w:rsidP="00447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FF4770" w:rsidRDefault="00447E98" w:rsidP="00447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47E98" w:rsidRDefault="00447E98" w:rsidP="00447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47E98" w:rsidRPr="0040209D" w:rsidRDefault="00447E98" w:rsidP="00447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47E98" w:rsidRDefault="00447E98" w:rsidP="00447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47E98" w:rsidRDefault="00447E98" w:rsidP="00447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</w:p>
          <w:p w:rsidR="00FF4770" w:rsidRPr="008944ED" w:rsidRDefault="00FF4770" w:rsidP="00447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Крайновская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СОШ»</w:t>
            </w:r>
          </w:p>
          <w:p w:rsidR="00447E98" w:rsidRDefault="00447E98" w:rsidP="00447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47E98" w:rsidRPr="008944ED" w:rsidRDefault="00447E98" w:rsidP="00447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FF4770" w:rsidRDefault="00FF4770" w:rsidP="00447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</w:t>
            </w:r>
            <w:r w:rsidR="00447E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 w:rsidR="00FB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</w:t>
            </w:r>
            <w:r w:rsidR="00447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47E98" w:rsidRDefault="00447E98" w:rsidP="00447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47E98" w:rsidRPr="0040209D" w:rsidRDefault="00447E98" w:rsidP="00447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3369" w:rsidRPr="00D04624" w:rsidRDefault="00A23369">
      <w:pPr>
        <w:spacing w:after="0"/>
        <w:ind w:left="120"/>
        <w:rPr>
          <w:lang w:val="ru-RU"/>
        </w:rPr>
      </w:pPr>
    </w:p>
    <w:p w:rsidR="00A23369" w:rsidRPr="00D04624" w:rsidRDefault="00447E98">
      <w:pPr>
        <w:spacing w:after="0"/>
        <w:ind w:left="120"/>
        <w:rPr>
          <w:lang w:val="ru-RU"/>
        </w:rPr>
      </w:pPr>
      <w:r w:rsidRPr="00D04624">
        <w:rPr>
          <w:rFonts w:ascii="Times New Roman" w:hAnsi="Times New Roman"/>
          <w:color w:val="000000"/>
          <w:sz w:val="28"/>
          <w:lang w:val="ru-RU"/>
        </w:rPr>
        <w:t>‌</w:t>
      </w:r>
    </w:p>
    <w:p w:rsidR="00A23369" w:rsidRPr="00D04624" w:rsidRDefault="00A23369">
      <w:pPr>
        <w:spacing w:after="0"/>
        <w:ind w:left="120"/>
        <w:rPr>
          <w:lang w:val="ru-RU"/>
        </w:rPr>
      </w:pPr>
    </w:p>
    <w:p w:rsidR="00A23369" w:rsidRPr="00D04624" w:rsidRDefault="00A23369">
      <w:pPr>
        <w:spacing w:after="0"/>
        <w:ind w:left="120"/>
        <w:rPr>
          <w:lang w:val="ru-RU"/>
        </w:rPr>
      </w:pPr>
    </w:p>
    <w:p w:rsidR="00A23369" w:rsidRPr="00D04624" w:rsidRDefault="00A23369">
      <w:pPr>
        <w:spacing w:after="0"/>
        <w:ind w:left="120"/>
        <w:rPr>
          <w:lang w:val="ru-RU"/>
        </w:rPr>
      </w:pPr>
    </w:p>
    <w:p w:rsidR="00A23369" w:rsidRPr="00D04624" w:rsidRDefault="00447E98">
      <w:pPr>
        <w:spacing w:after="0" w:line="408" w:lineRule="auto"/>
        <w:ind w:left="120"/>
        <w:jc w:val="center"/>
        <w:rPr>
          <w:lang w:val="ru-RU"/>
        </w:rPr>
      </w:pPr>
      <w:r w:rsidRPr="00D046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3369" w:rsidRPr="00D04624" w:rsidRDefault="00447E98">
      <w:pPr>
        <w:spacing w:after="0" w:line="408" w:lineRule="auto"/>
        <w:ind w:left="120"/>
        <w:jc w:val="center"/>
        <w:rPr>
          <w:lang w:val="ru-RU"/>
        </w:rPr>
      </w:pPr>
      <w:r w:rsidRPr="00D046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4624">
        <w:rPr>
          <w:rFonts w:ascii="Times New Roman" w:hAnsi="Times New Roman"/>
          <w:color w:val="000000"/>
          <w:sz w:val="28"/>
          <w:lang w:val="ru-RU"/>
        </w:rPr>
        <w:t xml:space="preserve"> 3113411)</w:t>
      </w:r>
    </w:p>
    <w:p w:rsidR="00A23369" w:rsidRPr="00D04624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447E98">
      <w:pPr>
        <w:spacing w:after="0" w:line="408" w:lineRule="auto"/>
        <w:ind w:left="120"/>
        <w:jc w:val="center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A23369" w:rsidRPr="00447E98" w:rsidRDefault="00FF477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– 2</w:t>
      </w:r>
      <w:r w:rsidR="00447E98" w:rsidRPr="00447E98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A23369" w:rsidRPr="00447E98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A23369" w:rsidP="00447E98">
      <w:pPr>
        <w:spacing w:after="0"/>
        <w:rPr>
          <w:lang w:val="ru-RU"/>
        </w:rPr>
      </w:pPr>
    </w:p>
    <w:p w:rsidR="00A23369" w:rsidRPr="00447E98" w:rsidRDefault="00A23369">
      <w:pPr>
        <w:spacing w:after="0"/>
        <w:ind w:left="120"/>
        <w:jc w:val="center"/>
        <w:rPr>
          <w:lang w:val="ru-RU"/>
        </w:rPr>
      </w:pPr>
    </w:p>
    <w:p w:rsidR="00A23369" w:rsidRPr="00447E98" w:rsidRDefault="00A23369" w:rsidP="00FF4770">
      <w:pPr>
        <w:spacing w:after="0"/>
        <w:rPr>
          <w:lang w:val="ru-RU"/>
        </w:rPr>
      </w:pPr>
    </w:p>
    <w:p w:rsidR="00A23369" w:rsidRPr="00447E98" w:rsidRDefault="00447E98" w:rsidP="00447E98">
      <w:pPr>
        <w:spacing w:after="0"/>
        <w:rPr>
          <w:lang w:val="ru-RU"/>
        </w:rPr>
      </w:pPr>
      <w:bookmarkStart w:id="3" w:name="a138e01f-71ee-4195-a132-95a500e7f996"/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</w:t>
      </w:r>
      <w:proofErr w:type="spellStart"/>
      <w:r w:rsidRPr="00447E98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proofErr w:type="spellEnd"/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447E9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47E9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7E98">
        <w:rPr>
          <w:rFonts w:ascii="Times New Roman" w:hAnsi="Times New Roman"/>
          <w:color w:val="000000"/>
          <w:sz w:val="28"/>
          <w:lang w:val="ru-RU"/>
        </w:rPr>
        <w:t>​</w:t>
      </w: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bookmarkStart w:id="5" w:name="block-23426043"/>
      <w:bookmarkEnd w:id="0"/>
      <w:r w:rsidRPr="00447E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A23369" w:rsidRPr="00447E98" w:rsidRDefault="00447E98" w:rsidP="00FF4770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447E98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</w:t>
      </w:r>
      <w:r w:rsidR="00FF4770">
        <w:rPr>
          <w:rFonts w:ascii="Times New Roman" w:hAnsi="Times New Roman"/>
          <w:color w:val="000000"/>
          <w:sz w:val="28"/>
          <w:lang w:val="ru-RU"/>
        </w:rPr>
        <w:t>яет – 168 часов: в 1 классе – 66</w:t>
      </w:r>
      <w:r w:rsidRPr="00447E98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во</w:t>
      </w:r>
      <w:r w:rsidR="00FF4770">
        <w:rPr>
          <w:rFonts w:ascii="Times New Roman" w:hAnsi="Times New Roman"/>
          <w:color w:val="000000"/>
          <w:sz w:val="28"/>
          <w:lang w:val="ru-RU"/>
        </w:rPr>
        <w:t xml:space="preserve"> 2 классе – 102 часа (3</w:t>
      </w:r>
      <w:r w:rsidRPr="00447E98">
        <w:rPr>
          <w:rFonts w:ascii="Times New Roman" w:hAnsi="Times New Roman"/>
          <w:color w:val="000000"/>
          <w:sz w:val="28"/>
          <w:lang w:val="ru-RU"/>
        </w:rPr>
        <w:t xml:space="preserve">часа в неделю), </w:t>
      </w:r>
      <w:bookmarkEnd w:id="6"/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A23369">
      <w:pPr>
        <w:rPr>
          <w:lang w:val="ru-RU"/>
        </w:rPr>
        <w:sectPr w:rsidR="00A23369" w:rsidRPr="00447E98">
          <w:pgSz w:w="11906" w:h="16383"/>
          <w:pgMar w:top="1134" w:right="850" w:bottom="1134" w:left="1701" w:header="720" w:footer="720" w:gutter="0"/>
          <w:cols w:space="720"/>
        </w:sect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bookmarkStart w:id="7" w:name="block-23426041"/>
      <w:bookmarkEnd w:id="5"/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47E9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447E9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7E98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</w:t>
      </w:r>
      <w:proofErr w:type="spellEnd"/>
      <w:r w:rsidRPr="00447E98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A23369" w:rsidRPr="00447E98" w:rsidRDefault="00A23369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47E98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447E98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A23369" w:rsidRPr="00447E98" w:rsidRDefault="00A23369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A23369">
      <w:pPr>
        <w:rPr>
          <w:lang w:val="ru-RU"/>
        </w:rPr>
        <w:sectPr w:rsidR="00A23369" w:rsidRPr="00447E98">
          <w:pgSz w:w="11906" w:h="16383"/>
          <w:pgMar w:top="1134" w:right="850" w:bottom="1134" w:left="1701" w:header="720" w:footer="720" w:gutter="0"/>
          <w:cols w:space="720"/>
        </w:sect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23426042"/>
      <w:bookmarkEnd w:id="7"/>
      <w:bookmarkEnd w:id="11"/>
      <w:r w:rsidRPr="00447E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3369" w:rsidRPr="00447E98" w:rsidRDefault="00A23369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23369" w:rsidRPr="00447E98" w:rsidRDefault="00447E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A23369" w:rsidRPr="00447E98" w:rsidRDefault="00447E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A23369" w:rsidRPr="00447E98" w:rsidRDefault="00447E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A23369" w:rsidRPr="00447E98" w:rsidRDefault="00447E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23369" w:rsidRPr="00447E98" w:rsidRDefault="00447E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A23369" w:rsidRPr="00447E98" w:rsidRDefault="00447E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A23369" w:rsidRPr="00447E98" w:rsidRDefault="00A23369">
      <w:pPr>
        <w:spacing w:after="0"/>
        <w:ind w:left="120"/>
        <w:rPr>
          <w:lang w:val="ru-RU"/>
        </w:rPr>
      </w:pPr>
      <w:bookmarkStart w:id="14" w:name="_Toc137548642"/>
      <w:bookmarkEnd w:id="14"/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5" w:name="_Toc134720971"/>
      <w:bookmarkEnd w:id="15"/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47E9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47E9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23369" w:rsidRDefault="00447E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3369" w:rsidRPr="00447E98" w:rsidRDefault="00447E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A23369" w:rsidRPr="00447E98" w:rsidRDefault="00447E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A23369" w:rsidRPr="00447E98" w:rsidRDefault="00447E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A23369" w:rsidRPr="00447E98" w:rsidRDefault="00447E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A23369" w:rsidRDefault="00447E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23369" w:rsidRPr="00447E98" w:rsidRDefault="00447E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A23369" w:rsidRPr="00447E98" w:rsidRDefault="00447E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A23369" w:rsidRPr="00447E98" w:rsidRDefault="00447E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A23369" w:rsidRPr="00447E98" w:rsidRDefault="00447E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A23369" w:rsidRDefault="00447E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3369" w:rsidRPr="00447E98" w:rsidRDefault="00447E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A23369" w:rsidRPr="00447E98" w:rsidRDefault="00447E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A23369" w:rsidRPr="00447E98" w:rsidRDefault="00447E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A23369" w:rsidRDefault="00447E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23369" w:rsidRPr="00447E98" w:rsidRDefault="00447E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A23369" w:rsidRPr="00447E98" w:rsidRDefault="00447E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A23369" w:rsidRPr="00447E98" w:rsidRDefault="00447E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A23369" w:rsidRPr="00447E98" w:rsidRDefault="00447E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A23369" w:rsidRPr="00447E98" w:rsidRDefault="00447E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A23369" w:rsidRDefault="00447E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23369" w:rsidRPr="00447E98" w:rsidRDefault="00447E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A23369" w:rsidRPr="00447E98" w:rsidRDefault="00447E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A23369" w:rsidRPr="00447E98" w:rsidRDefault="00447E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A23369" w:rsidRDefault="00447E9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23369" w:rsidRPr="00447E98" w:rsidRDefault="00447E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A23369" w:rsidRPr="00447E98" w:rsidRDefault="00447E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A23369" w:rsidRPr="00447E98" w:rsidRDefault="00447E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A23369" w:rsidRPr="00447E98" w:rsidRDefault="00447E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A23369" w:rsidRDefault="00A2336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7E98" w:rsidRDefault="00447E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7E98" w:rsidRDefault="00447E9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47E98" w:rsidRPr="00447E98" w:rsidRDefault="00447E98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A23369">
      <w:pPr>
        <w:spacing w:after="0"/>
        <w:ind w:left="120"/>
        <w:rPr>
          <w:lang w:val="ru-RU"/>
        </w:rPr>
      </w:pPr>
      <w:bookmarkStart w:id="16" w:name="_Toc137548644"/>
      <w:bookmarkEnd w:id="16"/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47E9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47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A23369" w:rsidRPr="00447E98" w:rsidRDefault="00447E9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17" w:name="_Toc103687218"/>
      <w:bookmarkEnd w:id="17"/>
    </w:p>
    <w:p w:rsidR="00A23369" w:rsidRPr="00447E98" w:rsidRDefault="00A23369">
      <w:pPr>
        <w:spacing w:after="0"/>
        <w:ind w:left="120"/>
        <w:rPr>
          <w:lang w:val="ru-RU"/>
        </w:rPr>
      </w:pPr>
      <w:bookmarkStart w:id="18" w:name="_Toc137548645"/>
      <w:bookmarkEnd w:id="18"/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>
      <w:pPr>
        <w:spacing w:after="0" w:line="264" w:lineRule="auto"/>
        <w:ind w:left="120"/>
        <w:jc w:val="both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23369" w:rsidRPr="00447E98" w:rsidRDefault="00447E98">
      <w:pPr>
        <w:spacing w:after="0" w:line="264" w:lineRule="auto"/>
        <w:ind w:firstLine="600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47E9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47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демонстрировать танцевальный хороводный шаг в совместном передвижении;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A23369" w:rsidRPr="00447E98" w:rsidRDefault="00447E9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447E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9" w:name="_Toc103687219"/>
      <w:bookmarkEnd w:id="19"/>
    </w:p>
    <w:p w:rsidR="00A23369" w:rsidRPr="00447E98" w:rsidRDefault="00A23369">
      <w:pPr>
        <w:spacing w:after="0"/>
        <w:ind w:left="120"/>
        <w:rPr>
          <w:lang w:val="ru-RU"/>
        </w:rPr>
      </w:pPr>
      <w:bookmarkStart w:id="20" w:name="_Toc137548646"/>
      <w:bookmarkEnd w:id="20"/>
    </w:p>
    <w:p w:rsidR="00A23369" w:rsidRPr="00447E98" w:rsidRDefault="00A23369">
      <w:pPr>
        <w:spacing w:after="0" w:line="264" w:lineRule="auto"/>
        <w:ind w:left="120"/>
        <w:jc w:val="both"/>
        <w:rPr>
          <w:lang w:val="ru-RU"/>
        </w:rPr>
      </w:pPr>
    </w:p>
    <w:p w:rsidR="00A23369" w:rsidRPr="00447E98" w:rsidRDefault="00447E98" w:rsidP="00447E98">
      <w:pPr>
        <w:spacing w:after="0" w:line="264" w:lineRule="auto"/>
        <w:jc w:val="both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.</w:t>
      </w:r>
    </w:p>
    <w:p w:rsidR="00A23369" w:rsidRPr="00447E98" w:rsidRDefault="00A23369">
      <w:pPr>
        <w:rPr>
          <w:lang w:val="ru-RU"/>
        </w:rPr>
        <w:sectPr w:rsidR="00A23369" w:rsidRPr="00447E98">
          <w:pgSz w:w="11906" w:h="16383"/>
          <w:pgMar w:top="1134" w:right="850" w:bottom="1134" w:left="1701" w:header="720" w:footer="720" w:gutter="0"/>
          <w:cols w:space="720"/>
        </w:sectPr>
      </w:pPr>
    </w:p>
    <w:p w:rsidR="00A23369" w:rsidRDefault="00447E98">
      <w:pPr>
        <w:spacing w:after="0"/>
        <w:ind w:left="120"/>
      </w:pPr>
      <w:bookmarkStart w:id="21" w:name="block-23426037"/>
      <w:bookmarkEnd w:id="12"/>
      <w:r w:rsidRPr="00447E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3369" w:rsidRDefault="00447E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23369" w:rsidTr="00D04624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</w:tr>
      <w:tr w:rsidR="00A23369" w:rsidRPr="00FB7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0462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D0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7E9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 w:rsidRPr="00FB7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046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Pr="00A65096" w:rsidRDefault="00D04624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447E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D046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04624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 w:rsidRPr="00FB7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23369" w:rsidRPr="00FF4770" w:rsidTr="00D046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4624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rPr>
                <w:lang w:val="ru-RU"/>
              </w:rPr>
            </w:pPr>
            <w:r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</w:p>
        </w:tc>
      </w:tr>
      <w:tr w:rsidR="00A23369" w:rsidRPr="00FF47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rPr>
                <w:lang w:val="ru-RU"/>
              </w:rPr>
            </w:pPr>
            <w:r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D046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</w:t>
            </w:r>
            <w:r w:rsidR="00447E98"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Pr="00FF4770" w:rsidRDefault="00A23369">
            <w:pPr>
              <w:rPr>
                <w:lang w:val="ru-RU"/>
              </w:rPr>
            </w:pPr>
          </w:p>
        </w:tc>
      </w:tr>
      <w:tr w:rsidR="00A23369" w:rsidRPr="00FF4770" w:rsidTr="00D046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4624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FF47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3369" w:rsidRPr="00FF4770" w:rsidRDefault="00A23369">
            <w:pPr>
              <w:rPr>
                <w:lang w:val="ru-RU"/>
              </w:rPr>
            </w:pPr>
          </w:p>
        </w:tc>
      </w:tr>
    </w:tbl>
    <w:p w:rsidR="00A23369" w:rsidRPr="00FF4770" w:rsidRDefault="00A23369">
      <w:pPr>
        <w:rPr>
          <w:lang w:val="ru-RU"/>
        </w:rPr>
        <w:sectPr w:rsidR="00A23369" w:rsidRPr="00FF47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369" w:rsidRPr="00FF4770" w:rsidRDefault="00447E98">
      <w:pPr>
        <w:spacing w:after="0"/>
        <w:ind w:left="120"/>
        <w:rPr>
          <w:lang w:val="ru-RU"/>
        </w:rPr>
      </w:pPr>
      <w:r w:rsidRPr="00FF47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A2336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Pr="00FF4770" w:rsidRDefault="00447E98">
            <w:pPr>
              <w:spacing w:after="0"/>
              <w:ind w:left="135"/>
              <w:rPr>
                <w:lang w:val="ru-RU"/>
              </w:rPr>
            </w:pPr>
            <w:r w:rsidRPr="00FF47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FF47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FF47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FF47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FF47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A23369" w:rsidRPr="00FF4770" w:rsidRDefault="00A233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r w:rsidRPr="00FF47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</w:tr>
      <w:tr w:rsidR="00A23369" w:rsidRPr="00FB7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 w:rsidRPr="00FB7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Pr="00E73508" w:rsidRDefault="00E73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</w:t>
            </w:r>
            <w:r w:rsidR="00FB752E">
              <w:rPr>
                <w:rFonts w:ascii="Times New Roman" w:hAnsi="Times New Roman"/>
                <w:color w:val="000000"/>
                <w:sz w:val="24"/>
                <w:lang w:val="ru-RU"/>
              </w:rPr>
              <w:t>е игры с элементами баскетбола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FB75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 w:rsidRPr="00FB75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447E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2336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  <w:tr w:rsidR="00A233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</w:tbl>
    <w:p w:rsidR="00A23369" w:rsidRDefault="00A23369">
      <w:pPr>
        <w:sectPr w:rsidR="00A233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369" w:rsidRDefault="00447E98">
      <w:pPr>
        <w:spacing w:after="0"/>
        <w:ind w:left="120"/>
      </w:pPr>
      <w:bookmarkStart w:id="22" w:name="block-23426038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23369" w:rsidRDefault="00447E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2"/>
        <w:gridCol w:w="4345"/>
        <w:gridCol w:w="1284"/>
        <w:gridCol w:w="1841"/>
        <w:gridCol w:w="1910"/>
        <w:gridCol w:w="1347"/>
        <w:gridCol w:w="2221"/>
      </w:tblGrid>
      <w:tr w:rsidR="00A23369" w:rsidTr="00C02345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4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3369" w:rsidRDefault="00A233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Default="00A23369"/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D0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спине и животе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D046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D0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D0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D046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одному с разной 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скоростью передвижения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B2946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B2946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D04624" w:rsidRDefault="00D04624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Правила выполнения прыжка в длину с места.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D04624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B2946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B2946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B2946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B2946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ной игры «Не оступись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 w:rsidP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Кто больше соберет яблок»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 w:rsidP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ной игры «Брось-поймай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ной игры «Брось-поймай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ной игры «Пингвины с мячом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227C9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ной игры «Пингвины с мячом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Бег на 10м и 30м. 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 w:rsidP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spell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передвижение.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 w:rsidP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олнения норматива комплекса ГТО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 w:rsidP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6-ти минутный бег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End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RPr="00EA615B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 w:rsidP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spell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набивного мяча.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rPr>
                <w:lang w:val="ru-RU"/>
              </w:rPr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A23369" w:rsidRPr="00EA615B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rPr>
                <w:lang w:val="ru-RU"/>
              </w:rPr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 w:rsidP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spell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набивного мяча.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rPr>
                <w:lang w:val="ru-RU"/>
              </w:rPr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A23369" w:rsidRPr="00EA615B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rPr>
                <w:lang w:val="ru-RU"/>
              </w:rPr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игры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rPr>
                <w:lang w:val="ru-RU"/>
              </w:rPr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Поле для свободного ввода</w:t>
            </w:r>
            <w:proofErr w:type="gramStart"/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rPr>
                <w:lang w:val="ru-RU"/>
              </w:rPr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EA615B" w:rsidP="00EA615B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spell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рыжок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длину с места толчком двумя ногами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Pr="00EA615B" w:rsidRDefault="00A2336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r w:rsidRPr="00EA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447E98" w:rsidRDefault="00C02345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C02345" w:rsidRDefault="00C02345" w:rsidP="00C02345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spell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теннисного мяча в цель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023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C02345" w:rsidRDefault="00C02345" w:rsidP="00C02345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proofErr w:type="spell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ГТО</w:t>
            </w:r>
            <w:proofErr w:type="gramStart"/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бег 3*10м</w:t>
            </w: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02345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28" w:type="dxa"/>
            <w:tcMar>
              <w:top w:w="50" w:type="dxa"/>
              <w:left w:w="100" w:type="dxa"/>
            </w:tcMar>
            <w:vAlign w:val="center"/>
          </w:tcPr>
          <w:p w:rsidR="00A23369" w:rsidRPr="00C02345" w:rsidRDefault="00C0234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Пробное тестирование с соблюдением правил техники выполнения испытаний (тестов) 1-2 ступени ГТО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3369" w:rsidRDefault="00A2336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A23369" w:rsidTr="00C0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Pr="00447E98" w:rsidRDefault="00447E98">
            <w:pPr>
              <w:spacing w:after="0"/>
              <w:ind w:left="135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3369" w:rsidRPr="00C02345" w:rsidRDefault="00447E98">
            <w:pPr>
              <w:spacing w:after="0"/>
              <w:ind w:left="135"/>
              <w:jc w:val="center"/>
              <w:rPr>
                <w:lang w:val="ru-RU"/>
              </w:rPr>
            </w:pPr>
            <w:r w:rsidRPr="00447E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2345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3369" w:rsidRDefault="00447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Default="00A23369"/>
        </w:tc>
      </w:tr>
    </w:tbl>
    <w:p w:rsidR="00A23369" w:rsidRDefault="00A23369">
      <w:pPr>
        <w:sectPr w:rsidR="00A233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369" w:rsidRPr="00004395" w:rsidRDefault="00447E98">
      <w:pPr>
        <w:spacing w:after="0"/>
        <w:ind w:left="120"/>
        <w:rPr>
          <w:rFonts w:asciiTheme="majorBidi" w:hAnsiTheme="majorBidi" w:cstheme="majorBidi"/>
          <w:sz w:val="24"/>
          <w:szCs w:val="24"/>
        </w:rPr>
      </w:pPr>
      <w:r w:rsidRPr="00004395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A23369" w:rsidRPr="0000439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Pr="00004395" w:rsidRDefault="00A233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Pr="00004395" w:rsidRDefault="00A233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04395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Pr="00004395" w:rsidRDefault="00A233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69" w:rsidRPr="00004395" w:rsidRDefault="00A233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Зарождение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Олимпийских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Сила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как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Быстрота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как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Выносливость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как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Гибкость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как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Развитие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Развитие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Утренняя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комплекса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утренней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зарядки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Строевые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Строевые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Прыжковые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Прыжковые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Гимнастическая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разминка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Ходьба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Ходьба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скамейке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скакалкой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гимнастическим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гимнастическим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мячом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гимнастические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Ловля и передача мяча в движении. Броски в цель (кольцо, щит, мишень).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 w:rsidP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ОРУ. Игра «Попади в обруч».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Развитие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координационных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способностей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ОРУ. Игра «Попади в обруч».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Развитие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координационных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способностей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Ловля и передача мяча в движении. Ведение на месте Броски в цель (кольцо, щит, мишень).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Броски в цель (кольцо, щит, мишень). </w:t>
            </w:r>
            <w:r w:rsidRPr="0000439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ОРУ.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Игра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Мяч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соседу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>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Броски в цель (кольцо, щит, мишень). </w:t>
            </w:r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ОРУ.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Игра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Мяч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соседу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>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Ловля и передача мяча в движении. Ведение на месте правой и левой рукой. </w:t>
            </w:r>
            <w:r w:rsidRPr="00004395">
              <w:rPr>
                <w:rFonts w:asciiTheme="majorBidi" w:hAnsiTheme="majorBidi" w:cstheme="majorBidi"/>
                <w:sz w:val="24"/>
                <w:szCs w:val="24"/>
              </w:rPr>
              <w:t>ОРУ.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Ловля и передача мяча в движении. Ведение на месте правой и левой рукой в движении.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Броски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в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цель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кольцо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щит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мишень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Ловля и передача мяча в движении. Ведение на месте правой и левой рукой в движении.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Броски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в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цель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кольцо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щит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004395">
              <w:rPr>
                <w:rFonts w:asciiTheme="majorBidi" w:hAnsiTheme="majorBidi" w:cstheme="majorBidi"/>
                <w:sz w:val="24"/>
                <w:szCs w:val="24"/>
              </w:rPr>
              <w:t>мишень</w:t>
            </w:r>
            <w:proofErr w:type="spellEnd"/>
            <w:r w:rsidRPr="00004395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004395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Ловля и передача мяча в движении. Ведение на месте правой и левой рукой в движении шагом и бегом.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Сложно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прыжковые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Сложно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прыжковые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Сложно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беговые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Сложно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координированные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беговые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приемами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баскетбола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приемами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баскетбола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Прием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волна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Прием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волна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баскетболе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Футбольный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бильярд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Футбольный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бильярд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Бросок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ногой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Бросок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ногой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Бег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30м.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Бег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на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30м.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Смешанное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передвижение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Смешанное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передвижение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выполнения норматива комплекса ГТО. Подтягивание из виса лежа на низкой перекладине 90см.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положения</w:t>
            </w:r>
            <w:proofErr w:type="gram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Челночный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бег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3*10м.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Челночный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бег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3*10м.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Плавание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25м.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Плавание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25м.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Подвижные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«Праздник ГТО». Соревнования со сдачей норм ГТО, с соблюдением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Поле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для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свободного</w:t>
            </w:r>
            <w:proofErr w:type="spellEnd"/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ввода1</w:t>
            </w:r>
          </w:p>
        </w:tc>
      </w:tr>
      <w:tr w:rsidR="00A23369" w:rsidRPr="00004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23369" w:rsidRPr="00004395" w:rsidRDefault="00447E98">
            <w:pPr>
              <w:spacing w:after="0"/>
              <w:ind w:left="1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39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69" w:rsidRPr="00004395" w:rsidRDefault="00A2336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23369" w:rsidRPr="00004395" w:rsidRDefault="00A23369">
      <w:pPr>
        <w:rPr>
          <w:rFonts w:asciiTheme="majorBidi" w:hAnsiTheme="majorBidi" w:cstheme="majorBidi"/>
          <w:sz w:val="24"/>
          <w:szCs w:val="24"/>
        </w:rPr>
        <w:sectPr w:rsidR="00A23369" w:rsidRPr="00004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369" w:rsidRPr="00447E98" w:rsidRDefault="00447E98">
      <w:pPr>
        <w:spacing w:after="0"/>
        <w:ind w:left="120"/>
        <w:rPr>
          <w:lang w:val="ru-RU"/>
        </w:rPr>
      </w:pPr>
      <w:bookmarkStart w:id="23" w:name="block-23426039"/>
      <w:bookmarkEnd w:id="22"/>
      <w:r w:rsidRPr="00447E9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​‌</w:t>
      </w:r>
      <w:bookmarkStart w:id="24" w:name="f056fd23-2f41-4129-8da1-d467aa21439d"/>
      <w:r w:rsidRPr="00447E98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4"/>
      <w:r w:rsidRPr="00447E9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23369" w:rsidRPr="00447E98" w:rsidRDefault="00447E98">
      <w:pPr>
        <w:spacing w:after="0"/>
        <w:ind w:left="120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​</w:t>
      </w: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​‌</w:t>
      </w:r>
      <w:bookmarkStart w:id="25" w:name="ce666534-2f9f-48e1-9f7c-2e635e3b9ede"/>
      <w:r w:rsidRPr="00447E98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1-4 классы: методические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рекомендации</w:t>
      </w:r>
      <w:proofErr w:type="gramStart"/>
      <w:r w:rsidRPr="00447E98">
        <w:rPr>
          <w:rFonts w:ascii="Times New Roman" w:hAnsi="Times New Roman"/>
          <w:color w:val="000000"/>
          <w:sz w:val="28"/>
          <w:lang w:val="ru-RU"/>
        </w:rPr>
        <w:t>:у</w:t>
      </w:r>
      <w:proofErr w:type="gramEnd"/>
      <w:r w:rsidRPr="00447E98">
        <w:rPr>
          <w:rFonts w:ascii="Times New Roman" w:hAnsi="Times New Roman"/>
          <w:color w:val="000000"/>
          <w:sz w:val="28"/>
          <w:lang w:val="ru-RU"/>
        </w:rPr>
        <w:t>чеб.пособ.для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 xml:space="preserve"> общеобразовательных </w:t>
      </w:r>
      <w:proofErr w:type="spellStart"/>
      <w:r w:rsidRPr="00447E98">
        <w:rPr>
          <w:rFonts w:ascii="Times New Roman" w:hAnsi="Times New Roman"/>
          <w:color w:val="000000"/>
          <w:sz w:val="28"/>
          <w:lang w:val="ru-RU"/>
        </w:rPr>
        <w:t>органций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>/ А.П. Матвеев.- М.: Просвещение 2017.</w:t>
      </w:r>
      <w:bookmarkEnd w:id="25"/>
      <w:r w:rsidRPr="00447E9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23369" w:rsidRPr="00447E98" w:rsidRDefault="00A23369">
      <w:pPr>
        <w:spacing w:after="0"/>
        <w:ind w:left="120"/>
        <w:rPr>
          <w:lang w:val="ru-RU"/>
        </w:rPr>
      </w:pP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3369" w:rsidRPr="00447E98" w:rsidRDefault="00447E98">
      <w:pPr>
        <w:spacing w:after="0" w:line="480" w:lineRule="auto"/>
        <w:ind w:left="120"/>
        <w:rPr>
          <w:lang w:val="ru-RU"/>
        </w:rPr>
      </w:pPr>
      <w:r w:rsidRPr="00447E98">
        <w:rPr>
          <w:rFonts w:ascii="Times New Roman" w:hAnsi="Times New Roman"/>
          <w:color w:val="000000"/>
          <w:sz w:val="28"/>
          <w:lang w:val="ru-RU"/>
        </w:rPr>
        <w:t>​</w:t>
      </w:r>
      <w:r w:rsidRPr="00447E98">
        <w:rPr>
          <w:rFonts w:ascii="Times New Roman" w:hAnsi="Times New Roman"/>
          <w:color w:val="333333"/>
          <w:sz w:val="28"/>
          <w:lang w:val="ru-RU"/>
        </w:rPr>
        <w:t>​‌</w:t>
      </w:r>
      <w:bookmarkStart w:id="26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447E9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47E98">
        <w:rPr>
          <w:rFonts w:ascii="Times New Roman" w:hAnsi="Times New Roman"/>
          <w:color w:val="000000"/>
          <w:sz w:val="28"/>
          <w:lang w:val="ru-RU"/>
        </w:rPr>
        <w:t>/</w:t>
      </w:r>
      <w:bookmarkEnd w:id="26"/>
      <w:r w:rsidRPr="00447E98">
        <w:rPr>
          <w:rFonts w:ascii="Times New Roman" w:hAnsi="Times New Roman"/>
          <w:color w:val="333333"/>
          <w:sz w:val="28"/>
          <w:lang w:val="ru-RU"/>
        </w:rPr>
        <w:t>‌</w:t>
      </w:r>
      <w:r w:rsidRPr="00447E98">
        <w:rPr>
          <w:rFonts w:ascii="Times New Roman" w:hAnsi="Times New Roman"/>
          <w:color w:val="000000"/>
          <w:sz w:val="28"/>
          <w:lang w:val="ru-RU"/>
        </w:rPr>
        <w:t>​</w:t>
      </w:r>
    </w:p>
    <w:p w:rsidR="00A23369" w:rsidRPr="00447E98" w:rsidRDefault="00A23369">
      <w:pPr>
        <w:rPr>
          <w:lang w:val="ru-RU"/>
        </w:rPr>
        <w:sectPr w:rsidR="00A23369" w:rsidRPr="00447E98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447E98" w:rsidRPr="00447E98" w:rsidRDefault="00447E98">
      <w:pPr>
        <w:rPr>
          <w:lang w:val="ru-RU"/>
        </w:rPr>
      </w:pPr>
    </w:p>
    <w:sectPr w:rsidR="00447E98" w:rsidRPr="00447E98" w:rsidSect="00A233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511"/>
    <w:multiLevelType w:val="multilevel"/>
    <w:tmpl w:val="8BB8B6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37FB9"/>
    <w:multiLevelType w:val="multilevel"/>
    <w:tmpl w:val="75F0E0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81B9A"/>
    <w:multiLevelType w:val="multilevel"/>
    <w:tmpl w:val="2E7CCE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0F7B76"/>
    <w:multiLevelType w:val="multilevel"/>
    <w:tmpl w:val="5CE8A4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B105D"/>
    <w:multiLevelType w:val="multilevel"/>
    <w:tmpl w:val="D122A2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A67F8F"/>
    <w:multiLevelType w:val="multilevel"/>
    <w:tmpl w:val="E7C40D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596DB7"/>
    <w:multiLevelType w:val="multilevel"/>
    <w:tmpl w:val="831402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E413E"/>
    <w:multiLevelType w:val="multilevel"/>
    <w:tmpl w:val="57A4A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C16F0A"/>
    <w:multiLevelType w:val="multilevel"/>
    <w:tmpl w:val="3AF4F5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8F590B"/>
    <w:multiLevelType w:val="multilevel"/>
    <w:tmpl w:val="ACC47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E956F6"/>
    <w:multiLevelType w:val="multilevel"/>
    <w:tmpl w:val="B9E876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9E4852"/>
    <w:multiLevelType w:val="multilevel"/>
    <w:tmpl w:val="598CEC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82378B"/>
    <w:multiLevelType w:val="multilevel"/>
    <w:tmpl w:val="0616F6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3D4C73"/>
    <w:multiLevelType w:val="multilevel"/>
    <w:tmpl w:val="3D160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4E199D"/>
    <w:multiLevelType w:val="multilevel"/>
    <w:tmpl w:val="8E721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940A8F"/>
    <w:multiLevelType w:val="multilevel"/>
    <w:tmpl w:val="63763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537976"/>
    <w:multiLevelType w:val="multilevel"/>
    <w:tmpl w:val="130ADB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1"/>
  </w:num>
  <w:num w:numId="7">
    <w:abstractNumId w:val="2"/>
  </w:num>
  <w:num w:numId="8">
    <w:abstractNumId w:val="15"/>
  </w:num>
  <w:num w:numId="9">
    <w:abstractNumId w:val="16"/>
  </w:num>
  <w:num w:numId="10">
    <w:abstractNumId w:val="8"/>
  </w:num>
  <w:num w:numId="11">
    <w:abstractNumId w:val="10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spelling="clean" w:grammar="clean"/>
  <w:defaultTabStop w:val="708"/>
  <w:characterSpacingControl w:val="doNotCompress"/>
  <w:compat/>
  <w:rsids>
    <w:rsidRoot w:val="00A23369"/>
    <w:rsid w:val="00004395"/>
    <w:rsid w:val="00290336"/>
    <w:rsid w:val="003109DD"/>
    <w:rsid w:val="00447E98"/>
    <w:rsid w:val="00483183"/>
    <w:rsid w:val="004B2946"/>
    <w:rsid w:val="004C17FA"/>
    <w:rsid w:val="00696AED"/>
    <w:rsid w:val="00741793"/>
    <w:rsid w:val="007F2647"/>
    <w:rsid w:val="008E45CE"/>
    <w:rsid w:val="009D6860"/>
    <w:rsid w:val="00A23369"/>
    <w:rsid w:val="00A65096"/>
    <w:rsid w:val="00C02345"/>
    <w:rsid w:val="00C227C9"/>
    <w:rsid w:val="00CD6E56"/>
    <w:rsid w:val="00D04624"/>
    <w:rsid w:val="00E73508"/>
    <w:rsid w:val="00EA615B"/>
    <w:rsid w:val="00FB752E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33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3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39</Pages>
  <Words>5767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2023-11-05T15:52:00Z</cp:lastPrinted>
  <dcterms:created xsi:type="dcterms:W3CDTF">2023-11-03T21:40:00Z</dcterms:created>
  <dcterms:modified xsi:type="dcterms:W3CDTF">2023-11-10T22:01:00Z</dcterms:modified>
</cp:coreProperties>
</file>